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(P4195) v km 8,954 trati Hanušovice – Staré Město pod Sněžníkem“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F32789">
        <w:t xml:space="preserve">Datum vydání: </w:t>
      </w:r>
      <w:r w:rsidRPr="00F32789">
        <w:tab/>
      </w:r>
      <w:r w:rsidR="00F32789" w:rsidRPr="00F32789">
        <w:t>26</w:t>
      </w:r>
      <w:r w:rsidRPr="00F32789">
        <w:t xml:space="preserve">. </w:t>
      </w:r>
      <w:r w:rsidR="008041E3" w:rsidRPr="00F32789">
        <w:t>10</w:t>
      </w:r>
      <w:r w:rsidRPr="00F32789">
        <w:t>. 20</w:t>
      </w:r>
      <w:r w:rsidR="00BF26F4" w:rsidRPr="00F32789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F3278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610278" w:history="1">
        <w:r w:rsidR="00F32789" w:rsidRPr="00205145">
          <w:rPr>
            <w:rStyle w:val="Hypertextovodkaz"/>
          </w:rPr>
          <w:t>SEZNAM ZKRATEK</w:t>
        </w:r>
        <w:r w:rsidR="00F32789">
          <w:rPr>
            <w:noProof/>
            <w:webHidden/>
          </w:rPr>
          <w:tab/>
        </w:r>
        <w:r w:rsidR="00F32789">
          <w:rPr>
            <w:noProof/>
            <w:webHidden/>
          </w:rPr>
          <w:fldChar w:fldCharType="begin"/>
        </w:r>
        <w:r w:rsidR="00F32789">
          <w:rPr>
            <w:noProof/>
            <w:webHidden/>
          </w:rPr>
          <w:instrText xml:space="preserve"> PAGEREF _Toc54610278 \h </w:instrText>
        </w:r>
        <w:r w:rsidR="00F32789">
          <w:rPr>
            <w:noProof/>
            <w:webHidden/>
          </w:rPr>
        </w:r>
        <w:r w:rsidR="00F32789">
          <w:rPr>
            <w:noProof/>
            <w:webHidden/>
          </w:rPr>
          <w:fldChar w:fldCharType="separate"/>
        </w:r>
        <w:r w:rsidR="00F32789">
          <w:rPr>
            <w:noProof/>
            <w:webHidden/>
          </w:rPr>
          <w:t>2</w:t>
        </w:r>
        <w:r w:rsidR="00F32789"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279" w:history="1">
        <w:r w:rsidRPr="0020514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0" w:history="1">
        <w:r w:rsidRPr="00205145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1" w:history="1">
        <w:r w:rsidRPr="0020514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282" w:history="1">
        <w:r w:rsidRPr="0020514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283" w:history="1">
        <w:r w:rsidRPr="0020514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4" w:history="1">
        <w:r w:rsidRPr="00205145">
          <w:rPr>
            <w:rStyle w:val="Hypertextovodkaz"/>
            <w:rFonts w:asciiTheme="majorHAnsi" w:hAnsiTheme="majorHAnsi"/>
          </w:rPr>
          <w:t>3.1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5" w:history="1">
        <w:r w:rsidRPr="00205145">
          <w:rPr>
            <w:rStyle w:val="Hypertextovodkaz"/>
            <w:rFonts w:asciiTheme="majorHAnsi" w:hAnsiTheme="majorHAnsi"/>
          </w:rPr>
          <w:t>3.2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6" w:history="1">
        <w:r w:rsidRPr="00205145">
          <w:rPr>
            <w:rStyle w:val="Hypertextovodkaz"/>
            <w:rFonts w:asciiTheme="majorHAnsi" w:hAnsiTheme="majorHAnsi"/>
          </w:rPr>
          <w:t>3.3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7" w:history="1">
        <w:r w:rsidRPr="00205145">
          <w:rPr>
            <w:rStyle w:val="Hypertextovodkaz"/>
            <w:rFonts w:asciiTheme="majorHAnsi" w:hAnsiTheme="majorHAnsi"/>
          </w:rPr>
          <w:t>3.4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8" w:history="1">
        <w:r w:rsidRPr="00205145">
          <w:rPr>
            <w:rStyle w:val="Hypertextovodkaz"/>
            <w:rFonts w:asciiTheme="majorHAnsi" w:hAnsiTheme="majorHAnsi"/>
          </w:rPr>
          <w:t>3.5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89" w:history="1">
        <w:r w:rsidRPr="00205145">
          <w:rPr>
            <w:rStyle w:val="Hypertextovodkaz"/>
            <w:rFonts w:asciiTheme="majorHAnsi" w:hAnsiTheme="majorHAnsi"/>
          </w:rPr>
          <w:t>3.6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90" w:history="1">
        <w:r w:rsidRPr="00205145">
          <w:rPr>
            <w:rStyle w:val="Hypertextovodkaz"/>
            <w:rFonts w:asciiTheme="majorHAnsi" w:hAnsiTheme="majorHAnsi"/>
          </w:rPr>
          <w:t>3.7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91" w:history="1">
        <w:r w:rsidRPr="00205145">
          <w:rPr>
            <w:rStyle w:val="Hypertextovodkaz"/>
            <w:rFonts w:asciiTheme="majorHAnsi" w:hAnsiTheme="majorHAnsi"/>
          </w:rPr>
          <w:t>3.8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92" w:history="1">
        <w:r w:rsidRPr="00205145">
          <w:rPr>
            <w:rStyle w:val="Hypertextovodkaz"/>
            <w:rFonts w:asciiTheme="majorHAnsi" w:hAnsiTheme="majorHAnsi"/>
          </w:rPr>
          <w:t>3.9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293" w:history="1">
        <w:r w:rsidRPr="0020514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Vykazování odpadů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94" w:history="1">
        <w:r w:rsidRPr="00205145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Vykazování odpadů ve vztahu ke stanovení nákladů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0295" w:history="1">
        <w:r w:rsidRPr="00205145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Ostatní přílohy vztahující se k odpadovému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32789" w:rsidRDefault="00F3278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0296" w:history="1">
        <w:r w:rsidRPr="00205145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05145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_Toc54610296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54610278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54610279"/>
      <w:r w:rsidRPr="00FD501F">
        <w:lastRenderedPageBreak/>
        <w:t>SPECIFIKACE PŘEDMĚTU DÍLA</w:t>
      </w:r>
      <w:bookmarkEnd w:id="5"/>
    </w:p>
    <w:p w:rsidR="00FD501F" w:rsidRPr="00FD501F" w:rsidRDefault="00FD501F" w:rsidP="00DB0562">
      <w:pPr>
        <w:pStyle w:val="Nadpis2-2"/>
      </w:pPr>
      <w:bookmarkStart w:id="6" w:name="_Toc54610280"/>
      <w:r w:rsidRPr="00FD501F">
        <w:t>Účel a rozsah předmětu díla</w:t>
      </w:r>
      <w:bookmarkEnd w:id="6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8041E3" w:rsidRPr="008041E3">
        <w:rPr>
          <w:rStyle w:val="Tun"/>
        </w:rPr>
        <w:t>Výstavba PZS (P4195) v km 8,954 trati Hanušovice – Staré Město pod Sněžníkem</w:t>
      </w:r>
      <w:r w:rsidRPr="00FD501F">
        <w:t>“</w:t>
      </w:r>
      <w:r w:rsidR="000E6E13">
        <w:t>. C</w:t>
      </w:r>
      <w:r w:rsidRPr="00FD501F">
        <w:t xml:space="preserve">ílem </w:t>
      </w:r>
      <w:r w:rsidR="000E6E13">
        <w:t xml:space="preserve">díla </w:t>
      </w:r>
      <w:r w:rsidRPr="00FD501F">
        <w:t xml:space="preserve">je </w:t>
      </w:r>
      <w:r w:rsidR="008041E3">
        <w:t>z</w:t>
      </w:r>
      <w:r w:rsidR="008041E3" w:rsidRPr="008041E3">
        <w:t>výšení bezpečnosti železničního a silničního provozu na železničním přejezdu u žel</w:t>
      </w:r>
      <w:r w:rsidR="00CB2526">
        <w:t>ezniční</w:t>
      </w:r>
      <w:r w:rsidR="008041E3" w:rsidRPr="008041E3">
        <w:t xml:space="preserve"> zastávky Chrastice, silnice III. třídy </w:t>
      </w:r>
      <w:proofErr w:type="gramStart"/>
      <w:r w:rsidR="008041E3" w:rsidRPr="008041E3">
        <w:t>č.44644</w:t>
      </w:r>
      <w:proofErr w:type="gramEnd"/>
      <w:r w:rsidR="008041E3" w:rsidRPr="008041E3">
        <w:t>.</w:t>
      </w:r>
    </w:p>
    <w:p w:rsidR="00D76F29" w:rsidRPr="00FD501F" w:rsidRDefault="00D76F29" w:rsidP="00D76F29">
      <w:pPr>
        <w:pStyle w:val="Text2-1"/>
      </w:pPr>
      <w:r w:rsidRPr="00FD501F">
        <w:t>Rozsah díla „</w:t>
      </w:r>
      <w:r w:rsidRPr="008041E3">
        <w:rPr>
          <w:rStyle w:val="Tun"/>
        </w:rPr>
        <w:t>Výstavba PZS (P4195) v km 8,954 trati Hanušovice – Staré Město pod Sněžníkem</w:t>
      </w:r>
      <w:r w:rsidRPr="00FD501F">
        <w:t>“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>, je</w:t>
      </w:r>
      <w:r w:rsidR="00967E3A">
        <w:t xml:space="preserve">jíž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 xml:space="preserve">20 pro stanovení a členění investičních nákladů staveb státní organizace SŽDC. Platné znění včetně formulářů souhrnného rozpočtu je zveřejněno na </w:t>
      </w:r>
      <w:r>
        <w:lastRenderedPageBreak/>
        <w:t>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7" w:name="_Toc54610281"/>
      <w:r w:rsidRPr="00FD501F">
        <w:t>Umístění stavby</w:t>
      </w:r>
      <w:bookmarkEnd w:id="7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č.294</w:t>
      </w:r>
      <w:proofErr w:type="gramEnd"/>
      <w:r w:rsidR="00473FF7">
        <w:t xml:space="preserve"> Hanušovice – Staré Město pod Sněžníkem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Chrastice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Šumperk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Chrastice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Drážní pozemek</w:t>
            </w:r>
          </w:p>
        </w:tc>
        <w:tc>
          <w:tcPr>
            <w:tcW w:w="3969" w:type="dxa"/>
          </w:tcPr>
          <w:p w:rsidR="004B322E" w:rsidRDefault="004B322E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 2065/2 (Správa železnic)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473FF7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Hanušovice – Staré Město pod Sněžníkem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294</w:t>
            </w:r>
          </w:p>
        </w:tc>
      </w:tr>
      <w:tr w:rsidR="00473FF7" w:rsidRPr="005D6B94" w:rsidTr="004B322E">
        <w:trPr>
          <w:trHeight w:val="611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5D6B94" w:rsidRDefault="00210A3F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Hanušovice – Staré Město pod Sněžníkem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5D6B94" w:rsidRDefault="00210A3F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210A3F">
              <w:rPr>
                <w:rFonts w:asciiTheme="minorHAnsi" w:hAnsiTheme="minorHAnsi"/>
                <w:sz w:val="18"/>
                <w:szCs w:val="18"/>
              </w:rPr>
              <w:t>312C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5D6B94" w:rsidRDefault="004B322E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4B322E">
              <w:rPr>
                <w:rFonts w:asciiTheme="minorHAnsi" w:hAnsiTheme="minorHAnsi"/>
                <w:sz w:val="18"/>
                <w:szCs w:val="18"/>
              </w:rPr>
              <w:t>Hanušovice-Morava</w:t>
            </w:r>
            <w:r w:rsidR="00D76F29">
              <w:rPr>
                <w:rFonts w:asciiTheme="minorHAnsi" w:hAnsiTheme="minorHAnsi"/>
                <w:sz w:val="18"/>
                <w:szCs w:val="18"/>
              </w:rPr>
              <w:t xml:space="preserve"> - Staré Město pod Sněžníkem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5D6B94" w:rsidRDefault="004B322E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4B322E">
              <w:rPr>
                <w:rFonts w:asciiTheme="minorHAnsi" w:hAnsiTheme="minorHAnsi"/>
                <w:sz w:val="18"/>
                <w:szCs w:val="18"/>
              </w:rPr>
              <w:t>553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Default="00210A3F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P4195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5D6B94" w:rsidRDefault="004B322E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km 8,954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Default="00210A3F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135102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5D6B94" w:rsidRDefault="00210A3F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Hanušovice-Morava odbočka – Staré Město pod Sněžníkem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C</w:t>
            </w:r>
            <w:r w:rsidR="004B322E">
              <w:rPr>
                <w:rFonts w:asciiTheme="minorHAnsi" w:hAnsiTheme="minorHAnsi"/>
                <w:sz w:val="18"/>
                <w:szCs w:val="18"/>
              </w:rPr>
              <w:t>2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4B322E">
              <w:rPr>
                <w:rFonts w:asciiTheme="minorHAnsi" w:hAnsiTheme="minorHAnsi"/>
                <w:sz w:val="18"/>
                <w:szCs w:val="18"/>
              </w:rPr>
              <w:t>6,4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50</w:t>
            </w:r>
            <w:r w:rsidR="00473FF7" w:rsidRPr="005D6B94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475ECE">
      <w:pPr>
        <w:pStyle w:val="Nadpis2-1"/>
      </w:pPr>
      <w:bookmarkStart w:id="8" w:name="_Toc54610282"/>
      <w:r w:rsidRPr="00FD501F">
        <w:t>KOORDINACE S JINÝMI STAVBAMI</w:t>
      </w:r>
      <w:bookmarkEnd w:id="8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případně aktuál</w:t>
      </w:r>
      <w:r w:rsidR="00EF73D7">
        <w:t xml:space="preserve">ně zpracovávanými, investičními, opravnými a údržbovými </w:t>
      </w:r>
      <w:r w:rsidRPr="00FD501F">
        <w:t xml:space="preserve">akcemi a stavbami již ve stádiu v realizace, případně ve stádiu zahájení realizace v období provádění díla dle harmonogramu prací a to i cizích investorů. </w:t>
      </w:r>
    </w:p>
    <w:p w:rsidR="00FD501F" w:rsidRPr="00FD501F" w:rsidRDefault="00FD501F" w:rsidP="00475ECE">
      <w:pPr>
        <w:pStyle w:val="Nadpis2-1"/>
      </w:pPr>
      <w:bookmarkStart w:id="9" w:name="_Toc54610283"/>
      <w:r w:rsidRPr="00FD501F">
        <w:lastRenderedPageBreak/>
        <w:t>ZVLÁŠTNÍ TECHNICKÉ PODMÍNKY A POŽADAVKY NA PROVEDENÍ DÍLA</w:t>
      </w:r>
      <w:bookmarkEnd w:id="9"/>
    </w:p>
    <w:p w:rsidR="00FD501F" w:rsidRPr="00FD501F" w:rsidRDefault="00FD501F" w:rsidP="00475ECE">
      <w:pPr>
        <w:pStyle w:val="Nadpis2-2"/>
      </w:pPr>
      <w:bookmarkStart w:id="10" w:name="_Toc54610284"/>
      <w:r w:rsidRPr="00FD501F">
        <w:t>Všeobecně</w:t>
      </w:r>
      <w:bookmarkEnd w:id="10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markeru.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1" w:name="_Toc15649875"/>
      <w:bookmarkStart w:id="12" w:name="_Toc54610285"/>
      <w:r w:rsidRPr="00280C98">
        <w:lastRenderedPageBreak/>
        <w:t>Zabezpečovací zařízení</w:t>
      </w:r>
      <w:bookmarkEnd w:id="11"/>
      <w:bookmarkEnd w:id="12"/>
    </w:p>
    <w:p w:rsidR="00F678E3" w:rsidRPr="00F678E3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F678E3" w:rsidRPr="00280C98" w:rsidRDefault="00B508E8" w:rsidP="002F2288">
      <w:pPr>
        <w:pStyle w:val="Text2-2"/>
        <w:numPr>
          <w:ilvl w:val="3"/>
          <w:numId w:val="6"/>
        </w:numPr>
      </w:pPr>
      <w:r>
        <w:t>Přejezd P4195 v km 8,954 je zabezpečen výstražnými kříži</w:t>
      </w:r>
      <w:r w:rsidR="00F678E3" w:rsidRPr="00280C98">
        <w:t>.</w:t>
      </w:r>
    </w:p>
    <w:p w:rsidR="00F678E3" w:rsidRPr="00F678E3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B508E8" w:rsidRPr="00F17E5F" w:rsidRDefault="00E6092A" w:rsidP="002F2288">
      <w:pPr>
        <w:pStyle w:val="Text2-2"/>
        <w:numPr>
          <w:ilvl w:val="3"/>
          <w:numId w:val="6"/>
        </w:numPr>
      </w:pPr>
      <w:r w:rsidRPr="00F17E5F">
        <w:t>Výstavba přejezdového zabezpečovacího zařízení světelného přejezdu P4195 v km 8,954 podle rozhodnutí Drážního úřadu o změně rozsahu a způsobu zabezpečení křížení železniční dráhy s pozemní komunikací v úrovni kolejí</w:t>
      </w:r>
      <w:r w:rsidR="00F678E3" w:rsidRPr="00F17E5F">
        <w:t>.</w:t>
      </w:r>
      <w:r w:rsidR="00B508E8" w:rsidRPr="00F17E5F">
        <w:t xml:space="preserve"> </w:t>
      </w:r>
    </w:p>
    <w:p w:rsidR="00F678E3" w:rsidRPr="00F17E5F" w:rsidRDefault="00B508E8" w:rsidP="002F2288">
      <w:pPr>
        <w:pStyle w:val="Text2-2"/>
        <w:numPr>
          <w:ilvl w:val="3"/>
          <w:numId w:val="6"/>
        </w:numPr>
      </w:pPr>
      <w:r w:rsidRPr="00F17E5F">
        <w:t>Nově navrhované PZS bude zavedené k provozu na tratích ve správě Správy železnic a bude vyhovovat ČSN 34 2650 ed.2.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Základní napájení bude z rozvodu veřejné sítě. Náhradní napájení bude zajištěno z alkalické akumulátorové baterie s centrálním doléváním umístěné na polici v technologickém objektu - reléovém domku (RD) bez nutnosti klimatizace.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Jako prostředky pro spolupůsobení vlaku budou použity počítače náprav.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Kontrolní a ovládací prvky budou umístěny na JOP v dopravní kanceláři</w:t>
      </w:r>
      <w:r w:rsidR="00F17E5F" w:rsidRPr="00F17E5F">
        <w:t xml:space="preserve"> (DK)</w:t>
      </w:r>
      <w:r w:rsidRPr="00F17E5F">
        <w:t xml:space="preserve"> </w:t>
      </w:r>
      <w:r w:rsidR="00F17E5F" w:rsidRPr="00F17E5F">
        <w:t xml:space="preserve">ŽST </w:t>
      </w:r>
      <w:r w:rsidRPr="00F17E5F">
        <w:t>Hanušovice.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Součástí nového PZS bude záznamové a diagnostické zařízení (stavová i měřící diagnostika) s přenosem informací do místa soustředěné údržby a možností archivace dat. Toto zařízení musí být kompatibilní s diagnostikou a ovládáním dalších zabezpečovacích zařízení na dotčené trati.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Vnitřní technologie bude umístěna do nového zatepleného technologického objektu (reléový domek) s řízeným temperováním a sedlovou nebo valbovou střechou, který se umístí v blízkosti přejezdu přednostně na pozemku ve správě Správy železnic nebo Českých drah a. s.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Budou použity výstražníky s LED světly. OŘ Olomouc preferuje použití hliníkových závor. V prostoru před výstražníky a za pohony závor bude zřízena rovná plocha pro bezpečné provádění údržby (přístup k pohonům a výstražníkům).</w:t>
      </w:r>
    </w:p>
    <w:p w:rsidR="00B508E8" w:rsidRPr="00F17E5F" w:rsidRDefault="00B508E8" w:rsidP="002F2288">
      <w:pPr>
        <w:pStyle w:val="Text2-2"/>
        <w:numPr>
          <w:ilvl w:val="3"/>
          <w:numId w:val="6"/>
        </w:numPr>
      </w:pPr>
      <w:r w:rsidRPr="00F17E5F">
        <w:t>Projekt</w:t>
      </w:r>
      <w:r w:rsidR="00F17E5F" w:rsidRPr="00F17E5F">
        <w:t>ová dokumentace</w:t>
      </w:r>
      <w:r w:rsidRPr="00F17E5F">
        <w:t xml:space="preserve"> musí zohlednit stávající stav kabelizace a doplnit v nutném rozsahu nové vazební kabely. Dle kontroly kapacity, obsazenosti a měření na stávajícím vedení bude nutné položení nové kabelizace od přibližovacích úseků po </w:t>
      </w:r>
      <w:r w:rsidR="00F32789">
        <w:t>RD</w:t>
      </w:r>
      <w:bookmarkStart w:id="13" w:name="_GoBack"/>
      <w:bookmarkEnd w:id="13"/>
      <w:r w:rsidRPr="00F17E5F">
        <w:t xml:space="preserve"> a do DK ŽST Hanušovice (resp. k souběhu s tratí Mikulovice – Hanušovice). V celé délce řešené kabelizace budou přiloženy HDPE trubky pro budoucí </w:t>
      </w:r>
      <w:r w:rsidR="00F17E5F" w:rsidRPr="00F17E5F">
        <w:t xml:space="preserve">instalaci </w:t>
      </w:r>
      <w:r w:rsidRPr="00F17E5F">
        <w:t>optick</w:t>
      </w:r>
      <w:r w:rsidR="00F17E5F" w:rsidRPr="00F17E5F">
        <w:t>ých</w:t>
      </w:r>
      <w:r w:rsidRPr="00F17E5F">
        <w:t xml:space="preserve"> kabel</w:t>
      </w:r>
      <w:r w:rsidR="00F17E5F" w:rsidRPr="00F17E5F">
        <w:t>ů</w:t>
      </w:r>
      <w:r w:rsidRPr="00F17E5F">
        <w:t>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4" w:name="_Toc15649877"/>
      <w:bookmarkStart w:id="15" w:name="_Toc54610286"/>
      <w:r w:rsidRPr="00280C98">
        <w:t>Silnoproudá technologie včetně DŘT, trakční a energetická zařízení</w:t>
      </w:r>
      <w:bookmarkEnd w:id="14"/>
      <w:bookmarkEnd w:id="15"/>
    </w:p>
    <w:p w:rsidR="006729AE" w:rsidRPr="00572FA4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72FA4">
        <w:rPr>
          <w:rStyle w:val="Tun"/>
        </w:rPr>
        <w:t xml:space="preserve">Popis stávajícího stavu </w:t>
      </w:r>
    </w:p>
    <w:p w:rsidR="006729AE" w:rsidRPr="00572FA4" w:rsidRDefault="00572FA4" w:rsidP="002F2288">
      <w:pPr>
        <w:pStyle w:val="Text2-2"/>
        <w:numPr>
          <w:ilvl w:val="3"/>
          <w:numId w:val="6"/>
        </w:numPr>
      </w:pPr>
      <w:r w:rsidRPr="00572FA4">
        <w:t xml:space="preserve">Stávající odběrného místo napájení el. </w:t>
      </w:r>
      <w:proofErr w:type="gramStart"/>
      <w:r w:rsidRPr="00572FA4">
        <w:t>energií</w:t>
      </w:r>
      <w:proofErr w:type="gramEnd"/>
      <w:r w:rsidRPr="00572FA4">
        <w:t xml:space="preserve"> je vedeno z distribuční sítě (DS) ČEZ Distribuce, a.s. z HDS na betonovém sloupu dodavatele el. energie. Odtud je proveden zemní kabel typu CYKY J 4x10 pro napájení elektroměrového rozváděče železniční zastávky Chrastice RE. V RE je umístěn hlavní jistič před elektroměrem typu LTN 1x16A </w:t>
      </w:r>
      <w:proofErr w:type="spellStart"/>
      <w:r w:rsidRPr="00572FA4">
        <w:t>char.B</w:t>
      </w:r>
      <w:proofErr w:type="spellEnd"/>
      <w:r w:rsidRPr="00572FA4">
        <w:t xml:space="preserve"> a fakturační měření ČEZ Distribuce, a.s. Z RE je proveden vývod do rozváděče RO, který slouží pro napájení venkovního osvětlení nástupiště zastávky (provedeno 2x perónní osvětlovací stožár výšky 5,5 m s LED svítidlem)</w:t>
      </w:r>
      <w:r w:rsidR="006729AE" w:rsidRPr="00572FA4">
        <w:t>.</w:t>
      </w:r>
    </w:p>
    <w:p w:rsidR="006729AE" w:rsidRPr="00572FA4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72FA4">
        <w:rPr>
          <w:rStyle w:val="Tun"/>
        </w:rPr>
        <w:t xml:space="preserve">Požadavky na nový stav </w:t>
      </w:r>
    </w:p>
    <w:p w:rsidR="006729AE" w:rsidRPr="00572FA4" w:rsidRDefault="00572FA4" w:rsidP="002F2288">
      <w:pPr>
        <w:pStyle w:val="Text2-2"/>
        <w:numPr>
          <w:ilvl w:val="3"/>
          <w:numId w:val="6"/>
        </w:numPr>
      </w:pPr>
      <w:r w:rsidRPr="00572FA4">
        <w:t xml:space="preserve">S ohledem na záměr zřízení technologie přejezdového zabezpečovacího zařízení je nutné požádat o navýšení rezervovaného příkonu el. </w:t>
      </w:r>
      <w:proofErr w:type="gramStart"/>
      <w:r w:rsidRPr="00572FA4">
        <w:t>napájení</w:t>
      </w:r>
      <w:proofErr w:type="gramEnd"/>
      <w:r w:rsidRPr="00572FA4">
        <w:t xml:space="preserve"> na 3x20A. Záložní napájení přejezdového zabezpečovacího zařízení bude provedeno z baterií s automatickým dobíječem jako součást technologie PZS</w:t>
      </w:r>
      <w:r w:rsidR="006729AE" w:rsidRPr="00572FA4">
        <w:t>.</w:t>
      </w:r>
    </w:p>
    <w:p w:rsidR="00572FA4" w:rsidRPr="00EF73D7" w:rsidRDefault="00572FA4" w:rsidP="002F2288">
      <w:pPr>
        <w:pStyle w:val="Text2-2"/>
        <w:numPr>
          <w:ilvl w:val="3"/>
          <w:numId w:val="6"/>
        </w:numPr>
      </w:pPr>
      <w:r w:rsidRPr="00572FA4">
        <w:lastRenderedPageBreak/>
        <w:t xml:space="preserve">Jelikož je záměr demolice původního neosvětleného přístřešku a jeho náhrada novým - společným objektem pro samostatné umístění technologie PZS včetně samostatného prostoru přístřešku pro cestující, budou nutné další úpravy. Železobetonový objekt bude nutné uzemnit na </w:t>
      </w:r>
      <w:proofErr w:type="gramStart"/>
      <w:r w:rsidRPr="00572FA4">
        <w:t>strojený zemnič</w:t>
      </w:r>
      <w:proofErr w:type="gramEnd"/>
      <w:r w:rsidRPr="00572FA4">
        <w:t xml:space="preserve"> včetně zajištění pospojování neživých částí, ochranného vodiče přívodu a SPD (svodičů blesku a přepětí). Provést výpočet rizika a určit zda je nutné řešit vnější jímací soustavu nebo nikoliv. Rozváděč RE a RO je nutné upravit pro 3f napájení. V rozváděči RO je dále nutné doplnění vývodu 3x16A, charakteristiky C pro napájení technologie PZS, jištění elektroinstalace a také spínaného vývodu pro napájení osvětlení přístřešku. Rozvody budou upraveny tak, aby bylo možné jedním externím záložním zdrojem napájet společně technologii PZS a osvětlení zastávky. Podružné měření spotřeby el. </w:t>
      </w:r>
      <w:proofErr w:type="gramStart"/>
      <w:r w:rsidRPr="00EF73D7">
        <w:t>energie</w:t>
      </w:r>
      <w:proofErr w:type="gramEnd"/>
      <w:r w:rsidRPr="00EF73D7">
        <w:t xml:space="preserve"> bude provedeno dle požadavků OES OŘ Olomouc.</w:t>
      </w:r>
    </w:p>
    <w:p w:rsidR="00572FA4" w:rsidRPr="00572FA4" w:rsidRDefault="00572FA4" w:rsidP="002F2288">
      <w:pPr>
        <w:pStyle w:val="Text2-2"/>
        <w:numPr>
          <w:ilvl w:val="3"/>
          <w:numId w:val="6"/>
        </w:numPr>
      </w:pPr>
      <w:r w:rsidRPr="00EF73D7">
        <w:t>V případě, že dojde k úpravám délky nástupiště, bude v odpovídajícím rozsahu upraveno také osvětlení nástupiště včetně přístupové cesty. Uvažovaný prostor přístřešku pro cestující bude řešen se svítidlem LED</w:t>
      </w:r>
      <w:r w:rsidRPr="00572FA4">
        <w:t xml:space="preserve"> v provedení </w:t>
      </w:r>
      <w:proofErr w:type="spellStart"/>
      <w:r w:rsidRPr="00572FA4">
        <w:t>antivandal</w:t>
      </w:r>
      <w:proofErr w:type="spellEnd"/>
      <w:r w:rsidRPr="00572FA4">
        <w:t xml:space="preserve"> IK10, které bude napojeno z rozváděče RO.</w:t>
      </w:r>
    </w:p>
    <w:p w:rsidR="00572FA4" w:rsidRPr="00572FA4" w:rsidRDefault="00572FA4" w:rsidP="002F2288">
      <w:pPr>
        <w:pStyle w:val="Text2-2"/>
        <w:numPr>
          <w:ilvl w:val="3"/>
          <w:numId w:val="6"/>
        </w:numPr>
      </w:pPr>
      <w:r w:rsidRPr="00572FA4">
        <w:t>S ohledem na plánové dispoziční změny zastávky bude prověřena, řešena potřeba přeložení rozváděčů RE a RO do nové polohy.</w:t>
      </w:r>
    </w:p>
    <w:p w:rsidR="00572FA4" w:rsidRPr="00572FA4" w:rsidRDefault="00572FA4" w:rsidP="002F2288">
      <w:pPr>
        <w:pStyle w:val="Text2-2"/>
        <w:numPr>
          <w:ilvl w:val="3"/>
          <w:numId w:val="6"/>
        </w:numPr>
      </w:pPr>
      <w:r w:rsidRPr="00572FA4">
        <w:t>Prověřit a případně koordinovat s ostatními záměry Správy železnic, případně uvažovat s dálkovým ovládáním v rámci DDTS ŽDC (technická a časová koordinace).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6" w:name="_Toc15649879"/>
      <w:bookmarkStart w:id="17" w:name="_Toc54610287"/>
      <w:r w:rsidRPr="00280C98">
        <w:t>Železniční svršek a spodek</w:t>
      </w:r>
      <w:bookmarkEnd w:id="16"/>
      <w:bookmarkEnd w:id="17"/>
    </w:p>
    <w:p w:rsidR="006729AE" w:rsidRPr="00F678E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8" w:name="_Toc15649880"/>
      <w:r w:rsidRPr="00F678E3">
        <w:rPr>
          <w:rStyle w:val="Tun"/>
        </w:rPr>
        <w:t xml:space="preserve">Popis stávajícího stavu </w:t>
      </w:r>
    </w:p>
    <w:p w:rsidR="006729AE" w:rsidRPr="001C5E7A" w:rsidRDefault="001C5E7A" w:rsidP="002F2288">
      <w:pPr>
        <w:pStyle w:val="Text2-2"/>
        <w:numPr>
          <w:ilvl w:val="3"/>
          <w:numId w:val="6"/>
        </w:numPr>
      </w:pPr>
      <w:r w:rsidRPr="001C5E7A">
        <w:t>Železniční svršek je tvořen kolejnicemi S49 na dřevěných pražcích.</w:t>
      </w:r>
    </w:p>
    <w:p w:rsidR="006729AE" w:rsidRPr="00F678E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6729AE" w:rsidRPr="001C5E7A" w:rsidRDefault="001C5E7A" w:rsidP="002F2288">
      <w:pPr>
        <w:pStyle w:val="Text2-2"/>
        <w:numPr>
          <w:ilvl w:val="3"/>
          <w:numId w:val="6"/>
        </w:numPr>
      </w:pPr>
      <w:r w:rsidRPr="001C5E7A">
        <w:t>V přejezdu bude zřízena zesílená konstrukce pražcového podloží ZKPP a budou osazeny nové kolejnice S49 na betonových pražcích.</w:t>
      </w:r>
    </w:p>
    <w:p w:rsidR="004F1A6A" w:rsidRPr="004F1A6A" w:rsidRDefault="004F1A6A" w:rsidP="004F1A6A">
      <w:pPr>
        <w:pStyle w:val="Nadpis2-2"/>
        <w:numPr>
          <w:ilvl w:val="1"/>
          <w:numId w:val="6"/>
        </w:numPr>
      </w:pPr>
      <w:bookmarkStart w:id="19" w:name="_Toc54610288"/>
      <w:r w:rsidRPr="004F1A6A">
        <w:t>Nástupiště</w:t>
      </w:r>
      <w:bookmarkEnd w:id="19"/>
    </w:p>
    <w:p w:rsidR="004F1A6A" w:rsidRPr="009B2B92" w:rsidRDefault="004F1A6A" w:rsidP="004F1A6A">
      <w:pPr>
        <w:pStyle w:val="Text2-1"/>
        <w:numPr>
          <w:ilvl w:val="2"/>
          <w:numId w:val="6"/>
        </w:numPr>
        <w:rPr>
          <w:rStyle w:val="Tun"/>
        </w:rPr>
      </w:pPr>
      <w:r w:rsidRPr="004F1A6A">
        <w:rPr>
          <w:rStyle w:val="Tun"/>
        </w:rPr>
        <w:t xml:space="preserve">Popis </w:t>
      </w:r>
      <w:r w:rsidRPr="009B2B92">
        <w:rPr>
          <w:rStyle w:val="Tun"/>
        </w:rPr>
        <w:t xml:space="preserve">stávajícího stavu </w:t>
      </w:r>
    </w:p>
    <w:p w:rsidR="004F1A6A" w:rsidRPr="009B2B92" w:rsidRDefault="009B2B92" w:rsidP="009B2B92">
      <w:pPr>
        <w:pStyle w:val="Text2-2"/>
        <w:numPr>
          <w:ilvl w:val="3"/>
          <w:numId w:val="6"/>
        </w:numPr>
      </w:pPr>
      <w:r w:rsidRPr="009B2B92">
        <w:t>Vnější nástupiště vlevo koleje délky 30 m šířky 1,45 m. Konstrukce typu SUDOP, povrch tvoří betonové desky. Výška nástupiště nad temenem kolejnice je 250 mm.</w:t>
      </w:r>
    </w:p>
    <w:p w:rsidR="004F1A6A" w:rsidRPr="009B2B92" w:rsidRDefault="004F1A6A" w:rsidP="004F1A6A">
      <w:pPr>
        <w:pStyle w:val="Text2-1"/>
        <w:numPr>
          <w:ilvl w:val="2"/>
          <w:numId w:val="6"/>
        </w:numPr>
        <w:rPr>
          <w:rStyle w:val="Tun"/>
        </w:rPr>
      </w:pPr>
      <w:r w:rsidRPr="009B2B92">
        <w:rPr>
          <w:rStyle w:val="Tun"/>
        </w:rPr>
        <w:t xml:space="preserve">Požadavky na nový stav </w:t>
      </w:r>
    </w:p>
    <w:p w:rsidR="004F1A6A" w:rsidRPr="009B2B92" w:rsidRDefault="004F1A6A" w:rsidP="004F1A6A">
      <w:pPr>
        <w:pStyle w:val="Text2-2"/>
        <w:numPr>
          <w:ilvl w:val="3"/>
          <w:numId w:val="6"/>
        </w:numPr>
      </w:pPr>
      <w:r w:rsidRPr="009B2B92">
        <w:t>Zkrácení stávajícího nástupiště</w:t>
      </w:r>
      <w:r w:rsidR="00D822C2" w:rsidRPr="009B2B92">
        <w:t xml:space="preserve"> v blízkosti řešeného přejezdu o 4-5 m</w:t>
      </w:r>
      <w:r w:rsidRPr="009B2B92">
        <w:t xml:space="preserve"> a jeho ukončení tak</w:t>
      </w:r>
      <w:r w:rsidR="00D822C2" w:rsidRPr="009B2B92">
        <w:t>,</w:t>
      </w:r>
      <w:r w:rsidRPr="009B2B92">
        <w:t xml:space="preserve"> aby cestující nevstupovali do nebezpečného prostoru přejezdu</w:t>
      </w:r>
      <w:r w:rsidR="00D822C2" w:rsidRPr="009B2B92">
        <w:t>.</w:t>
      </w:r>
      <w:r w:rsidR="00F75CC9">
        <w:t xml:space="preserve"> Související úprava přístupu cestujících na nástupiště.</w:t>
      </w:r>
    </w:p>
    <w:p w:rsidR="009B2B92" w:rsidRPr="009B2B92" w:rsidRDefault="009B2B92" w:rsidP="004F1A6A">
      <w:pPr>
        <w:pStyle w:val="Text2-2"/>
        <w:numPr>
          <w:ilvl w:val="3"/>
          <w:numId w:val="6"/>
        </w:numPr>
      </w:pPr>
      <w:r w:rsidRPr="009B2B92">
        <w:t xml:space="preserve">Prodloužení stávajícího nástupiště na délku 30 m shodnými konstrukčními prvky s navazující nástupní hranou </w:t>
      </w:r>
      <w:r w:rsidR="00020E23">
        <w:t xml:space="preserve">na opačné straně </w:t>
      </w:r>
      <w:r w:rsidRPr="009B2B92">
        <w:t>ve směru rostoucí kilometráže.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0" w:name="_Toc15649881"/>
      <w:bookmarkStart w:id="21" w:name="_Toc54610289"/>
      <w:bookmarkEnd w:id="18"/>
      <w:r w:rsidRPr="00280C98">
        <w:t>Železniční přejezdy</w:t>
      </w:r>
      <w:bookmarkEnd w:id="20"/>
      <w:bookmarkEnd w:id="21"/>
    </w:p>
    <w:p w:rsidR="006729AE" w:rsidRPr="00020E2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020E23">
        <w:rPr>
          <w:rStyle w:val="Tun"/>
        </w:rPr>
        <w:t xml:space="preserve">Popis stávajícího stavu </w:t>
      </w:r>
    </w:p>
    <w:p w:rsidR="006729AE" w:rsidRPr="00020E23" w:rsidRDefault="00D822C2" w:rsidP="002F2288">
      <w:pPr>
        <w:pStyle w:val="Text2-2"/>
        <w:numPr>
          <w:ilvl w:val="3"/>
          <w:numId w:val="6"/>
        </w:numPr>
      </w:pPr>
      <w:r w:rsidRPr="00020E23">
        <w:t>Stávající přejezd převádí silnici III/44644. Přejezd je zabezpečený pouze výstražnými kříži, doplněnými</w:t>
      </w:r>
      <w:r w:rsidR="00EF73D7" w:rsidRPr="00020E23">
        <w:t xml:space="preserve"> dopravní značkou</w:t>
      </w:r>
      <w:r w:rsidRPr="00020E23">
        <w:t xml:space="preserve"> P06 z obou stran přejezdu. Přejezdová konstrukce je </w:t>
      </w:r>
      <w:r w:rsidR="00F75CC9" w:rsidRPr="00020E23">
        <w:t xml:space="preserve">živičná s </w:t>
      </w:r>
      <w:r w:rsidRPr="00020E23">
        <w:t>navazující živičnou konstrukcí vozovky. V blízkosti železničního přejezdu se nachází autobusová zastávka a napojení frekventované účelové komunikace.</w:t>
      </w:r>
    </w:p>
    <w:p w:rsidR="006729AE" w:rsidRPr="00020E2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2" w:name="_Toc15649882"/>
      <w:r w:rsidRPr="00020E23">
        <w:rPr>
          <w:rStyle w:val="Tun"/>
        </w:rPr>
        <w:t xml:space="preserve">Požadavky na nový stav </w:t>
      </w:r>
    </w:p>
    <w:p w:rsidR="006729AE" w:rsidRPr="00020E23" w:rsidRDefault="00D822C2" w:rsidP="002F2288">
      <w:pPr>
        <w:pStyle w:val="Text2-2"/>
        <w:numPr>
          <w:ilvl w:val="3"/>
          <w:numId w:val="6"/>
        </w:numPr>
      </w:pPr>
      <w:r w:rsidRPr="00020E23">
        <w:lastRenderedPageBreak/>
        <w:t xml:space="preserve">Nová přejezdová konstrukce vnější i vnitřní bude </w:t>
      </w:r>
      <w:proofErr w:type="spellStart"/>
      <w:r w:rsidRPr="00020E23">
        <w:t>celopryžová</w:t>
      </w:r>
      <w:proofErr w:type="spellEnd"/>
      <w:r w:rsidRPr="00020E23">
        <w:t>. Na novou pryžovou konstrukci bude navazovat živičný kryt vozovky. Niveleta komunikace bude plynule navazovat na přilehlou komunikaci. Dojde k odsunutí autobusové zastávky a bude vyřešeno napojení účelové komunikace v blízkosti koleje. Nově bude vyřešena úprava přístupu na nástupiště zastávky. Veškeré stavební úpravy budou v souladu s ČSN 73 6380</w:t>
      </w:r>
      <w:r w:rsidR="00020E23" w:rsidRPr="00020E23">
        <w:t xml:space="preserve"> Železniční přejezdy a přechody</w:t>
      </w:r>
      <w:r w:rsidR="006729AE" w:rsidRPr="00020E23">
        <w:t>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3" w:name="_Toc15649884"/>
      <w:bookmarkStart w:id="24" w:name="_Toc54610290"/>
      <w:bookmarkEnd w:id="22"/>
      <w:r w:rsidRPr="00280C98">
        <w:t>Ostatní objekty</w:t>
      </w:r>
      <w:bookmarkEnd w:id="23"/>
      <w:bookmarkEnd w:id="24"/>
    </w:p>
    <w:p w:rsidR="00F678E3" w:rsidRPr="00280C98" w:rsidRDefault="00F678E3" w:rsidP="002F2288">
      <w:pPr>
        <w:pStyle w:val="Text2-1"/>
        <w:numPr>
          <w:ilvl w:val="2"/>
          <w:numId w:val="6"/>
        </w:numPr>
      </w:pPr>
      <w:r w:rsidRPr="00280C98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:rsidR="00F678E3" w:rsidRPr="00D822C2" w:rsidRDefault="00F678E3" w:rsidP="002F2288">
      <w:pPr>
        <w:pStyle w:val="Nadpis2-2"/>
        <w:numPr>
          <w:ilvl w:val="1"/>
          <w:numId w:val="6"/>
        </w:numPr>
      </w:pPr>
      <w:bookmarkStart w:id="25" w:name="_Toc15649885"/>
      <w:bookmarkStart w:id="26" w:name="_Toc54610291"/>
      <w:r w:rsidRPr="00280C98">
        <w:t xml:space="preserve">Pozemní </w:t>
      </w:r>
      <w:r w:rsidRPr="00D822C2">
        <w:t>stavební objekty</w:t>
      </w:r>
      <w:bookmarkEnd w:id="25"/>
      <w:bookmarkEnd w:id="26"/>
    </w:p>
    <w:p w:rsidR="006729AE" w:rsidRPr="00D822C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7" w:name="_Toc15649886"/>
      <w:r w:rsidRPr="00D822C2">
        <w:rPr>
          <w:rStyle w:val="Tun"/>
        </w:rPr>
        <w:t xml:space="preserve">Popis stávajícího stavu </w:t>
      </w:r>
    </w:p>
    <w:p w:rsidR="006729AE" w:rsidRPr="00D822C2" w:rsidRDefault="001D5E3E" w:rsidP="002F2288">
      <w:pPr>
        <w:pStyle w:val="Text2-2"/>
        <w:numPr>
          <w:ilvl w:val="3"/>
          <w:numId w:val="6"/>
        </w:numPr>
      </w:pPr>
      <w:r w:rsidRPr="00D822C2">
        <w:t xml:space="preserve">Stávající </w:t>
      </w:r>
      <w:r w:rsidR="00E214D3" w:rsidRPr="00D822C2">
        <w:t xml:space="preserve">dřevěný </w:t>
      </w:r>
      <w:r w:rsidRPr="00D822C2">
        <w:t>přístřešek pro cestující</w:t>
      </w:r>
      <w:r w:rsidR="00E214D3" w:rsidRPr="00D822C2">
        <w:t xml:space="preserve"> se sedlovou střechou </w:t>
      </w:r>
      <w:r w:rsidR="00DA3856" w:rsidRPr="00D822C2">
        <w:t xml:space="preserve">je na pozemku p.č.st.147, </w:t>
      </w:r>
      <w:proofErr w:type="spellStart"/>
      <w:proofErr w:type="gramStart"/>
      <w:r w:rsidR="00DA3856" w:rsidRPr="00D822C2">
        <w:t>k.ú</w:t>
      </w:r>
      <w:proofErr w:type="spellEnd"/>
      <w:r w:rsidR="00DA3856" w:rsidRPr="00D822C2">
        <w:t>.</w:t>
      </w:r>
      <w:proofErr w:type="gramEnd"/>
      <w:r w:rsidR="00DA3856" w:rsidRPr="00D822C2">
        <w:t xml:space="preserve"> Chrastice (Správa železnic)</w:t>
      </w:r>
      <w:r w:rsidR="006729AE" w:rsidRPr="00D822C2">
        <w:t>.</w:t>
      </w:r>
    </w:p>
    <w:p w:rsidR="006729AE" w:rsidRPr="00D822C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D822C2">
        <w:rPr>
          <w:rStyle w:val="Tun"/>
        </w:rPr>
        <w:t xml:space="preserve">Požadavky na nový stav </w:t>
      </w:r>
    </w:p>
    <w:p w:rsidR="004F1A6A" w:rsidRPr="00D822C2" w:rsidRDefault="001D5E3E" w:rsidP="002F2288">
      <w:pPr>
        <w:pStyle w:val="Text2-2"/>
        <w:numPr>
          <w:ilvl w:val="3"/>
          <w:numId w:val="6"/>
        </w:numPr>
      </w:pPr>
      <w:r w:rsidRPr="00D822C2">
        <w:t>Demolice stávajícího přístřešku pro cestující</w:t>
      </w:r>
      <w:r w:rsidR="004F1A6A" w:rsidRPr="00D822C2">
        <w:t>.</w:t>
      </w:r>
    </w:p>
    <w:p w:rsidR="006729AE" w:rsidRPr="00D822C2" w:rsidRDefault="004F1A6A" w:rsidP="002F2288">
      <w:pPr>
        <w:pStyle w:val="Text2-2"/>
        <w:numPr>
          <w:ilvl w:val="3"/>
          <w:numId w:val="6"/>
        </w:numPr>
      </w:pPr>
      <w:r w:rsidRPr="00D822C2">
        <w:t>Výstavba nového objektu se sdruženou funkcí technologického objektu (reléového domku) a přístřešku pro cestující v jeho jednostranně otevřené zastřešené části. Technologická část objektu na železniční zastávce bude na straně řešeného přejezdového zabezpečovacího zařízení</w:t>
      </w:r>
      <w:r w:rsidR="006729AE" w:rsidRPr="00D822C2">
        <w:t>.</w:t>
      </w:r>
    </w:p>
    <w:p w:rsidR="00002C2C" w:rsidRPr="00FD501F" w:rsidRDefault="00002C2C" w:rsidP="00002C2C">
      <w:pPr>
        <w:pStyle w:val="Nadpis2-2"/>
      </w:pPr>
      <w:bookmarkStart w:id="28" w:name="_Toc54610292"/>
      <w:r w:rsidRPr="00FD501F">
        <w:t>Zásady organizace výstavby</w:t>
      </w:r>
      <w:bookmarkEnd w:id="28"/>
    </w:p>
    <w:p w:rsidR="00002C2C" w:rsidRPr="00250A40" w:rsidRDefault="00002C2C" w:rsidP="00002C2C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9933E4" w:rsidRDefault="009933E4" w:rsidP="002F2288">
      <w:pPr>
        <w:pStyle w:val="Nadpis2-1"/>
        <w:numPr>
          <w:ilvl w:val="0"/>
          <w:numId w:val="6"/>
        </w:numPr>
      </w:pPr>
      <w:bookmarkStart w:id="29" w:name="_Toc29554212"/>
      <w:bookmarkStart w:id="30" w:name="_Toc29554213"/>
      <w:bookmarkStart w:id="31" w:name="_Toc29393944"/>
      <w:bookmarkStart w:id="32" w:name="_Toc54610293"/>
      <w:bookmarkEnd w:id="27"/>
      <w:bookmarkEnd w:id="29"/>
      <w:bookmarkEnd w:id="30"/>
      <w:r>
        <w:t>Vykazování odpadů</w:t>
      </w:r>
      <w:bookmarkEnd w:id="31"/>
      <w:bookmarkEnd w:id="32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3" w:name="_Toc27040311"/>
      <w:bookmarkStart w:id="34" w:name="_Toc29393945"/>
      <w:bookmarkStart w:id="35" w:name="_Toc54610294"/>
      <w:r>
        <w:t>Vykazování odpadů ve vztahu ke stanovení nákladů stavby</w:t>
      </w:r>
      <w:bookmarkEnd w:id="33"/>
      <w:bookmarkEnd w:id="34"/>
      <w:bookmarkEnd w:id="35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6" w:name="_Ref27037418"/>
      <w:r w:rsidRPr="0061694A">
        <w:rPr>
          <w:rStyle w:val="Tun"/>
        </w:rPr>
        <w:t>Úpravy položkových rozpočtů</w:t>
      </w:r>
      <w:bookmarkEnd w:id="36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doprava pro opětovné využití vyzískaného materiálu (např. výkopové práce pro další využití na stavbě, do zemníků apod.) bude kalkulovaná samostatnou položkou pro vodorovnou a svislou dopravu, přemístění, přeložení, manipulace do vzdálenosti </w:t>
      </w:r>
      <w:r>
        <w:lastRenderedPageBreak/>
        <w:t>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lastRenderedPageBreak/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7" w:name="_Toc27040312"/>
      <w:bookmarkStart w:id="38" w:name="_Toc29393946"/>
      <w:bookmarkStart w:id="39" w:name="_Toc54610295"/>
      <w:r>
        <w:t>Ostatní přílohy vztahující se k odpadovému hospodářství</w:t>
      </w:r>
      <w:bookmarkEnd w:id="37"/>
      <w:bookmarkEnd w:id="38"/>
      <w:bookmarkEnd w:id="39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v závěru textové části, dále pak v souhrnné technické zprávě a technických zprávách jednotlivých SO/PS bude vždy uvedeno, že poloha, umístění a vzdálenost </w:t>
      </w:r>
      <w:r>
        <w:lastRenderedPageBreak/>
        <w:t>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40" w:name="_Toc54610296"/>
      <w:r w:rsidRPr="00FD501F">
        <w:t>SOUVISEJÍCÍ DOKUMENTY A PŘEDPISY</w:t>
      </w:r>
      <w:bookmarkEnd w:id="40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1"/>
    <w:bookmarkEnd w:id="2"/>
    <w:bookmarkEnd w:id="3"/>
    <w:bookmarkEnd w:id="4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E7A" w:rsidRDefault="001C5E7A" w:rsidP="00962258">
      <w:pPr>
        <w:spacing w:after="0" w:line="240" w:lineRule="auto"/>
      </w:pPr>
    </w:p>
    <w:p w:rsidR="001C5E7A" w:rsidRDefault="001C5E7A"/>
  </w:endnote>
  <w:endnote w:type="continuationSeparator" w:id="0">
    <w:p w:rsidR="001C5E7A" w:rsidRDefault="001C5E7A" w:rsidP="00962258">
      <w:pPr>
        <w:spacing w:after="0" w:line="240" w:lineRule="auto"/>
      </w:pPr>
    </w:p>
    <w:p w:rsidR="001C5E7A" w:rsidRDefault="001C5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C5E7A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C5E7A" w:rsidRPr="00B8518B" w:rsidRDefault="001C5E7A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78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278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C5E7A" w:rsidRPr="004D477C" w:rsidRDefault="00020E23" w:rsidP="00C73C02">
          <w:pPr>
            <w:pStyle w:val="Zpatvlevo"/>
          </w:pPr>
          <w:fldSimple w:instr=" STYLEREF  _Název_akce  \* MERGEFORMAT ">
            <w:r w:rsidR="00F32789">
              <w:rPr>
                <w:noProof/>
              </w:rPr>
              <w:t>„Výstavba PZS (P4195) v km 8,954 trati Hanušovice – Staré Město pod Sněžníkem“</w:t>
            </w:r>
          </w:fldSimple>
        </w:p>
        <w:p w:rsidR="001C5E7A" w:rsidRDefault="001C5E7A" w:rsidP="00C73C02">
          <w:pPr>
            <w:pStyle w:val="Zpatvlevo"/>
          </w:pPr>
          <w:r>
            <w:t xml:space="preserve">Příloha č. 3 c) </w:t>
          </w:r>
        </w:p>
        <w:p w:rsidR="001C5E7A" w:rsidRPr="003462EB" w:rsidRDefault="001C5E7A" w:rsidP="00C73C02">
          <w:pPr>
            <w:pStyle w:val="Zpatvlevo"/>
          </w:pPr>
          <w:r>
            <w:t>Zvláštní technické podmínky - DUSP+PDPS</w:t>
          </w:r>
        </w:p>
      </w:tc>
    </w:tr>
  </w:tbl>
  <w:p w:rsidR="001C5E7A" w:rsidRPr="00DB6CED" w:rsidRDefault="001C5E7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C5E7A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C5E7A" w:rsidRDefault="00020E23" w:rsidP="00C73C02">
          <w:pPr>
            <w:pStyle w:val="Zpatvpravo"/>
          </w:pPr>
          <w:fldSimple w:instr=" STYLEREF  _Název_akce  \* MERGEFORMAT ">
            <w:r w:rsidR="00F32789">
              <w:rPr>
                <w:noProof/>
              </w:rPr>
              <w:t>„Výstavba PZS (P4195) v km 8,954 trati Hanušovice – Staré Město pod Sněžníkem“</w:t>
            </w:r>
          </w:fldSimple>
        </w:p>
        <w:p w:rsidR="001C5E7A" w:rsidRDefault="001C5E7A" w:rsidP="00C73C02">
          <w:pPr>
            <w:pStyle w:val="Zpatvpravo"/>
          </w:pPr>
          <w:r>
            <w:t xml:space="preserve">Příloha č. 3 c) </w:t>
          </w:r>
        </w:p>
        <w:p w:rsidR="001C5E7A" w:rsidRPr="003462EB" w:rsidRDefault="001C5E7A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1C5E7A" w:rsidRPr="009E09BE" w:rsidRDefault="001C5E7A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78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2789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E7A" w:rsidRDefault="001C5E7A">
      <w:pPr>
        <w:spacing w:after="0" w:line="240" w:lineRule="auto"/>
      </w:pPr>
    </w:p>
  </w:footnote>
  <w:footnote w:type="continuationSeparator" w:id="0">
    <w:p w:rsidR="001C5E7A" w:rsidRDefault="001C5E7A" w:rsidP="00962258">
      <w:pPr>
        <w:spacing w:after="0" w:line="240" w:lineRule="auto"/>
      </w:pPr>
    </w:p>
    <w:p w:rsidR="001C5E7A" w:rsidRDefault="001C5E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E7A" w:rsidRDefault="001C5E7A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E7A" w:rsidRDefault="001C5E7A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C5E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C5E7A" w:rsidRPr="00B8518B" w:rsidRDefault="001C5E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C5E7A" w:rsidRDefault="001C5E7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C5E7A" w:rsidRPr="00D6163D" w:rsidRDefault="001C5E7A" w:rsidP="00FC6389">
          <w:pPr>
            <w:pStyle w:val="Druhdokumentu"/>
          </w:pPr>
        </w:p>
      </w:tc>
    </w:tr>
    <w:tr w:rsidR="001C5E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C5E7A" w:rsidRPr="00B8518B" w:rsidRDefault="001C5E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C5E7A" w:rsidRDefault="001C5E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C5E7A" w:rsidRPr="00D6163D" w:rsidRDefault="001C5E7A" w:rsidP="00FC6389">
          <w:pPr>
            <w:pStyle w:val="Druhdokumentu"/>
          </w:pPr>
        </w:p>
      </w:tc>
    </w:tr>
  </w:tbl>
  <w:p w:rsidR="001C5E7A" w:rsidRPr="00D6163D" w:rsidRDefault="001C5E7A" w:rsidP="00FC6389">
    <w:pPr>
      <w:pStyle w:val="Zhlav"/>
      <w:rPr>
        <w:sz w:val="8"/>
        <w:szCs w:val="8"/>
      </w:rPr>
    </w:pPr>
  </w:p>
  <w:p w:rsidR="001C5E7A" w:rsidRPr="00460660" w:rsidRDefault="001C5E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701CB"/>
    <w:multiLevelType w:val="hybridMultilevel"/>
    <w:tmpl w:val="E7FA0B8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0E23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46BCB"/>
    <w:rsid w:val="0015027B"/>
    <w:rsid w:val="001656A2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5E7A"/>
    <w:rsid w:val="001C645F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40B81"/>
    <w:rsid w:val="00247D01"/>
    <w:rsid w:val="0025030F"/>
    <w:rsid w:val="00251487"/>
    <w:rsid w:val="00261A5B"/>
    <w:rsid w:val="00262E5B"/>
    <w:rsid w:val="002720BF"/>
    <w:rsid w:val="00276AFE"/>
    <w:rsid w:val="002A3B57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F0AE6"/>
    <w:rsid w:val="002F2288"/>
    <w:rsid w:val="002F4333"/>
    <w:rsid w:val="00304DAF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7545D"/>
    <w:rsid w:val="003839B7"/>
    <w:rsid w:val="00385D5E"/>
    <w:rsid w:val="00386FF1"/>
    <w:rsid w:val="00392EB6"/>
    <w:rsid w:val="003956C6"/>
    <w:rsid w:val="003A5471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307C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22C50"/>
    <w:rsid w:val="00523BB5"/>
    <w:rsid w:val="00523EA7"/>
    <w:rsid w:val="00531CB9"/>
    <w:rsid w:val="00537342"/>
    <w:rsid w:val="005406EB"/>
    <w:rsid w:val="00553375"/>
    <w:rsid w:val="00555884"/>
    <w:rsid w:val="00572FA4"/>
    <w:rsid w:val="005736B7"/>
    <w:rsid w:val="00575E5A"/>
    <w:rsid w:val="00580245"/>
    <w:rsid w:val="005857FD"/>
    <w:rsid w:val="0058742A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D3C39"/>
    <w:rsid w:val="005E41C1"/>
    <w:rsid w:val="0060044A"/>
    <w:rsid w:val="00601A8C"/>
    <w:rsid w:val="00603691"/>
    <w:rsid w:val="006038A1"/>
    <w:rsid w:val="0061068E"/>
    <w:rsid w:val="006115D3"/>
    <w:rsid w:val="00621A29"/>
    <w:rsid w:val="00621E4A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314D"/>
    <w:rsid w:val="006E5CC5"/>
    <w:rsid w:val="006F0619"/>
    <w:rsid w:val="006F0680"/>
    <w:rsid w:val="00710723"/>
    <w:rsid w:val="00720802"/>
    <w:rsid w:val="00723ED1"/>
    <w:rsid w:val="007324B4"/>
    <w:rsid w:val="00732E1A"/>
    <w:rsid w:val="00733AD8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A5172"/>
    <w:rsid w:val="007A5F2F"/>
    <w:rsid w:val="007A67A0"/>
    <w:rsid w:val="007B484F"/>
    <w:rsid w:val="007B570C"/>
    <w:rsid w:val="007C5DAB"/>
    <w:rsid w:val="007D097B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6708"/>
    <w:rsid w:val="00887F36"/>
    <w:rsid w:val="00890A4F"/>
    <w:rsid w:val="008A3568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36091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E92"/>
    <w:rsid w:val="009B2B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41B94"/>
    <w:rsid w:val="00B507F3"/>
    <w:rsid w:val="00B508E8"/>
    <w:rsid w:val="00B50AB2"/>
    <w:rsid w:val="00B5431A"/>
    <w:rsid w:val="00B650AB"/>
    <w:rsid w:val="00B75EE1"/>
    <w:rsid w:val="00B77481"/>
    <w:rsid w:val="00B81C32"/>
    <w:rsid w:val="00B8518B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6240"/>
    <w:rsid w:val="00C95162"/>
    <w:rsid w:val="00CA0CE8"/>
    <w:rsid w:val="00CA7194"/>
    <w:rsid w:val="00CB2526"/>
    <w:rsid w:val="00CB6A37"/>
    <w:rsid w:val="00CB7684"/>
    <w:rsid w:val="00CC095D"/>
    <w:rsid w:val="00CC7C8F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71D59"/>
    <w:rsid w:val="00D72553"/>
    <w:rsid w:val="00D7326A"/>
    <w:rsid w:val="00D76F29"/>
    <w:rsid w:val="00D822C2"/>
    <w:rsid w:val="00D831A3"/>
    <w:rsid w:val="00D90C8B"/>
    <w:rsid w:val="00D97BE3"/>
    <w:rsid w:val="00DA27EA"/>
    <w:rsid w:val="00DA3711"/>
    <w:rsid w:val="00DA3856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4D3"/>
    <w:rsid w:val="00E2186B"/>
    <w:rsid w:val="00E26D68"/>
    <w:rsid w:val="00E33C54"/>
    <w:rsid w:val="00E41675"/>
    <w:rsid w:val="00E43317"/>
    <w:rsid w:val="00E44045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E4476"/>
    <w:rsid w:val="00EF1373"/>
    <w:rsid w:val="00EF3A25"/>
    <w:rsid w:val="00EF73D7"/>
    <w:rsid w:val="00F016C7"/>
    <w:rsid w:val="00F043AB"/>
    <w:rsid w:val="00F06B5B"/>
    <w:rsid w:val="00F10CC4"/>
    <w:rsid w:val="00F12DEC"/>
    <w:rsid w:val="00F15B4C"/>
    <w:rsid w:val="00F1715C"/>
    <w:rsid w:val="00F17E5F"/>
    <w:rsid w:val="00F310F8"/>
    <w:rsid w:val="00F32789"/>
    <w:rsid w:val="00F35939"/>
    <w:rsid w:val="00F45607"/>
    <w:rsid w:val="00F4722B"/>
    <w:rsid w:val="00F54432"/>
    <w:rsid w:val="00F659EB"/>
    <w:rsid w:val="00F678E3"/>
    <w:rsid w:val="00F705D1"/>
    <w:rsid w:val="00F75CC9"/>
    <w:rsid w:val="00F845B2"/>
    <w:rsid w:val="00F86BA6"/>
    <w:rsid w:val="00F8788B"/>
    <w:rsid w:val="00F93638"/>
    <w:rsid w:val="00FB5DE8"/>
    <w:rsid w:val="00FB6342"/>
    <w:rsid w:val="00FC2155"/>
    <w:rsid w:val="00FC6389"/>
    <w:rsid w:val="00FD501F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BB3C37"/>
    <w:rsid w:val="00D8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CF823C-7D61-4E7C-8FA8-3B982164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243</TotalTime>
  <Pages>11</Pages>
  <Words>3964</Words>
  <Characters>23390</Characters>
  <Application>Microsoft Office Word</Application>
  <DocSecurity>0</DocSecurity>
  <Lines>194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15</cp:revision>
  <cp:lastPrinted>2019-03-07T14:42:00Z</cp:lastPrinted>
  <dcterms:created xsi:type="dcterms:W3CDTF">2020-10-07T10:43:00Z</dcterms:created>
  <dcterms:modified xsi:type="dcterms:W3CDTF">2020-10-26T12:15:00Z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